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color w:val="1F3864"/>
          <w:sz w:val="20"/>
          <w:szCs w:val="20"/>
        </w:rPr>
        <w:t xml:space="preserve">BELONGING ODESA</w:t>
      </w:r>
    </w:p>
    <w:p>
      <w:pPr>
        <w:spacing w:after="200"/>
        <w:jc w:val="center"/>
      </w:pPr>
      <w:r>
        <w:rPr>
          <w:i/>
          <w:iCs/>
          <w:color w:val="555555"/>
          <w:sz w:val="18"/>
          <w:szCs w:val="18"/>
        </w:rPr>
        <w:t xml:space="preserve">Пілотна модель безбар'єрного доступу до узбережжя Одеси</w:t>
      </w:r>
    </w:p>
    <w:p>
      <w:pPr>
        <w:spacing w:after="100"/>
        <w:jc w:val="center"/>
      </w:pPr>
      <w:r>
        <w:rPr>
          <w:b/>
          <w:bCs/>
          <w:color w:val="1F3864"/>
          <w:sz w:val="30"/>
          <w:szCs w:val="30"/>
        </w:rPr>
        <w:t xml:space="preserve">АНКЕТА ОБСТЕЖЕННЯ ШЛЯХІВ ДОСТУПУ ДО УЗБЕРЕЖЖЯ</w:t>
      </w:r>
    </w:p>
    <w:p>
      <w:pPr>
        <w:spacing w:after="260"/>
        <w:jc w:val="center"/>
      </w:pPr>
      <w:r>
        <w:rPr>
          <w:b/>
          <w:bCs/>
          <w:color w:val="1F3864"/>
          <w:sz w:val="22"/>
          <w:szCs w:val="22"/>
        </w:rPr>
        <w:t xml:space="preserve">НА ФІЗИЧНУ ТА ВІЗУАЛЬНУ ДОСТУПНІСТЬ (пішохідні маршрути, спуски до моря, переходи)</w:t>
      </w:r>
    </w:p>
    <w:p>
      <w:pPr>
        <w:pStyle w:val="Heading2"/>
        <w:spacing w:after="100" w:before="240"/>
      </w:pPr>
      <w:r>
        <w:rPr>
          <w:b/>
          <w:bCs/>
          <w:color w:val="1F3864"/>
          <w:sz w:val="22"/>
          <w:szCs w:val="22"/>
        </w:rPr>
        <w:t xml:space="preserve">Нормативно-правова база</w:t>
      </w:r>
    </w:p>
    <w:p>
      <w:pPr>
        <w:spacing w:after="100"/>
      </w:pPr>
      <w:r>
        <w:rPr>
          <w:sz w:val="20"/>
          <w:szCs w:val="20"/>
        </w:rPr>
        <w:t xml:space="preserve">Постанова Кабінету Міністрів України від 26.05.2021 № 537 «Про затвердження Порядку проведення моніторингу та оцінки ступеня безбар'єрності об'єктів фізичного оточення і послуг для осіб з інвалідністю» (в редакції Постанови КМУ № 798 від 27.05.2026), Додаток 3 — критерії безбар'єрності вулиць і доріг.</w:t>
      </w:r>
    </w:p>
    <w:p>
      <w:pPr>
        <w:spacing w:after="100"/>
      </w:pPr>
      <w:r>
        <w:rPr>
          <w:sz w:val="20"/>
          <w:szCs w:val="20"/>
        </w:rPr>
        <w:t xml:space="preserve">ДБН В.2.2-40:2018 «Інклюзивність будівель і споруд»; Наказ Мінрегіону від 31.08.2021 № 217 (методика розрахунку параметрів пандуса).</w:t>
      </w:r>
    </w:p>
    <w:p>
      <w:pPr>
        <w:spacing w:after="200"/>
      </w:pPr>
      <w:r>
        <w:rPr>
          <w:i/>
          <w:iCs/>
          <w:color w:val="555555"/>
          <w:sz w:val="18"/>
          <w:szCs w:val="18"/>
        </w:rPr>
        <w:t xml:space="preserve">Розділ 4 (Специфіка спусків до моря) є доповненням проєкту BELONGING ODESA до державної методики й охоплює критерії, специфічні для рекреаційного узбережжя.</w:t>
      </w:r>
    </w:p>
    <w:p>
      <w:pPr>
        <w:pStyle w:val="Heading2"/>
        <w:spacing w:after="100" w:before="240"/>
      </w:pPr>
      <w:r>
        <w:rPr>
          <w:b/>
          <w:bCs/>
          <w:color w:val="1F3864"/>
          <w:sz w:val="22"/>
          <w:szCs w:val="22"/>
        </w:rPr>
        <w:t xml:space="preserve">Порядок заповнення графи «Відповідність критеріям»</w:t>
      </w:r>
    </w:p>
    <w:p>
      <w:pPr>
        <w:spacing w:after="100"/>
      </w:pPr>
      <w:r>
        <w:rPr>
          <w:sz w:val="20"/>
          <w:szCs w:val="20"/>
        </w:rPr>
        <w:t xml:space="preserve">«так» — елемент відповідає опису та параметрам критерію; «ні» — не відповідає; «н.з.» (не застосовується) — елемент відсутній за конструкцією маршруту (наприклад, немає сходів — пункти про пандус не враховуються при підрахунку).</w:t>
      </w:r>
    </w:p>
    <w:p>
      <w:pPr>
        <w:spacing w:after="200"/>
      </w:pPr>
      <w:r>
        <w:rPr>
          <w:i/>
          <w:iCs/>
          <w:color w:val="555555"/>
          <w:sz w:val="18"/>
          <w:szCs w:val="18"/>
        </w:rPr>
        <w:t xml:space="preserve">Рядки з позначкою «критичність висока» (виділені кольором) є визначальними для підсумкової оцінки маршруту.</w:t>
      </w:r>
    </w:p>
    <w:p>
      <w:pPr>
        <w:pStyle w:val="Heading1"/>
        <w:spacing w:after="150" w:before="300"/>
      </w:pPr>
      <w:r>
        <w:rPr>
          <w:b/>
          <w:bCs/>
          <w:color w:val="1F3864"/>
          <w:sz w:val="26"/>
          <w:szCs w:val="26"/>
        </w:rPr>
        <w:t xml:space="preserve">1. ЗАГАЛЬНА ІНФОРМАЦІЯ ПРО ОБ'ЄКТ ОБСТЕЖЕННЯ</w:t>
      </w:r>
    </w:p>
    <w:p>
      <w:pPr>
        <w:spacing w:after="140"/>
      </w:pPr>
      <w:r>
        <w:rPr>
          <w:sz w:val="20"/>
          <w:szCs w:val="20"/>
        </w:rPr>
        <w:t xml:space="preserve">Назва маршруту / ділянки: </w:t>
      </w:r>
      <w:r>
        <w:rPr>
          <w:sz w:val="20"/>
          <w:szCs w:val="20"/>
        </w:rPr>
        <w:t xml:space="preserve">________________________________________</w:t>
      </w:r>
    </w:p>
    <w:p>
      <w:pPr>
        <w:spacing w:after="140"/>
      </w:pPr>
      <w:r>
        <w:rPr>
          <w:sz w:val="20"/>
          <w:szCs w:val="20"/>
        </w:rPr>
        <w:t xml:space="preserve">Тип об'єкта (вулиця / бульвар / провулок / пішохідна алея / спуск до моря / набережна): </w:t>
      </w:r>
      <w:r>
        <w:rPr>
          <w:sz w:val="20"/>
          <w:szCs w:val="20"/>
        </w:rPr>
        <w:t xml:space="preserve">________________________________________</w:t>
      </w:r>
    </w:p>
    <w:p>
      <w:pPr>
        <w:spacing w:after="140"/>
      </w:pPr>
      <w:r>
        <w:rPr>
          <w:sz w:val="20"/>
          <w:szCs w:val="20"/>
        </w:rPr>
        <w:t xml:space="preserve">Категорія (маршрут у складі пілотної ділянки «Золотий берег – Ланжерон» / інше): </w:t>
      </w:r>
      <w:r>
        <w:rPr>
          <w:sz w:val="20"/>
          <w:szCs w:val="20"/>
        </w:rPr>
        <w:t xml:space="preserve">________________________________________</w:t>
      </w:r>
    </w:p>
    <w:p>
      <w:pPr>
        <w:spacing w:after="140"/>
      </w:pPr>
      <w:r>
        <w:rPr>
          <w:sz w:val="20"/>
          <w:szCs w:val="20"/>
        </w:rPr>
        <w:t xml:space="preserve">Координати початку ділянки (GPS): </w:t>
      </w:r>
      <w:r>
        <w:rPr>
          <w:sz w:val="20"/>
          <w:szCs w:val="20"/>
        </w:rPr>
        <w:t xml:space="preserve">________________________________________</w:t>
      </w:r>
    </w:p>
    <w:p>
      <w:pPr>
        <w:spacing w:after="140"/>
      </w:pPr>
      <w:r>
        <w:rPr>
          <w:sz w:val="20"/>
          <w:szCs w:val="20"/>
        </w:rPr>
        <w:t xml:space="preserve">Координати кінця ділянки (GPS): </w:t>
      </w:r>
      <w:r>
        <w:rPr>
          <w:sz w:val="20"/>
          <w:szCs w:val="20"/>
        </w:rPr>
        <w:t xml:space="preserve">________________________________________</w:t>
      </w:r>
    </w:p>
    <w:p>
      <w:pPr>
        <w:spacing w:after="140"/>
      </w:pPr>
      <w:r>
        <w:rPr>
          <w:sz w:val="20"/>
          <w:szCs w:val="20"/>
        </w:rPr>
        <w:t xml:space="preserve">Протяжність ділянки, м: </w:t>
      </w:r>
      <w:r>
        <w:rPr>
          <w:sz w:val="20"/>
          <w:szCs w:val="20"/>
        </w:rPr>
        <w:t xml:space="preserve">________________________________________</w:t>
      </w:r>
    </w:p>
    <w:p>
      <w:pPr>
        <w:spacing w:after="140"/>
      </w:pPr>
      <w:r>
        <w:rPr>
          <w:sz w:val="20"/>
          <w:szCs w:val="20"/>
        </w:rPr>
        <w:t xml:space="preserve">Кількість обстежених перехресть і переходів на ділянці: </w:t>
      </w:r>
      <w:r>
        <w:rPr>
          <w:sz w:val="20"/>
          <w:szCs w:val="20"/>
        </w:rPr>
        <w:t xml:space="preserve">________________________________________</w:t>
      </w:r>
    </w:p>
    <w:p>
      <w:pPr>
        <w:spacing w:after="140"/>
      </w:pPr>
      <w:r>
        <w:rPr>
          <w:sz w:val="20"/>
          <w:szCs w:val="20"/>
        </w:rPr>
        <w:t xml:space="preserve">Дата обстеження: </w:t>
      </w:r>
      <w:r>
        <w:rPr>
          <w:sz w:val="20"/>
          <w:szCs w:val="20"/>
        </w:rPr>
        <w:t xml:space="preserve">________________________________________</w:t>
      </w:r>
    </w:p>
    <w:p>
      <w:pPr>
        <w:spacing w:after="140"/>
      </w:pPr>
      <w:r>
        <w:rPr>
          <w:sz w:val="20"/>
          <w:szCs w:val="20"/>
        </w:rPr>
        <w:t xml:space="preserve">Погодні умови / пора доби: </w:t>
      </w:r>
      <w:r>
        <w:rPr>
          <w:sz w:val="20"/>
          <w:szCs w:val="20"/>
        </w:rPr>
        <w:t xml:space="preserve">________________________________________</w:t>
      </w:r>
    </w:p>
    <w:p>
      <w:pPr>
        <w:spacing w:after="140"/>
      </w:pPr>
      <w:r>
        <w:rPr>
          <w:sz w:val="20"/>
          <w:szCs w:val="20"/>
        </w:rPr>
        <w:t xml:space="preserve">ПІБ та посада обстежувача: </w:t>
      </w:r>
      <w:r>
        <w:rPr>
          <w:sz w:val="20"/>
          <w:szCs w:val="20"/>
        </w:rPr>
        <w:t xml:space="preserve">________________________________________</w:t>
      </w:r>
    </w:p>
    <w:p>
      <w:pPr>
        <w:spacing w:after="140"/>
      </w:pPr>
      <w:r>
        <w:rPr>
          <w:sz w:val="20"/>
          <w:szCs w:val="20"/>
        </w:rPr>
        <w:t xml:space="preserve">Контактний e-mail для сповіщень: </w:t>
      </w:r>
      <w:r>
        <w:rPr>
          <w:sz w:val="20"/>
          <w:szCs w:val="20"/>
        </w:rPr>
        <w:t xml:space="preserve">________________________________________</w:t>
      </w:r>
    </w:p>
    <w:p>
      <w:pPr>
        <w:pStyle w:val="Heading1"/>
        <w:spacing w:after="150" w:before="300"/>
      </w:pPr>
      <w:r>
        <w:rPr>
          <w:b/>
          <w:bCs/>
          <w:color w:val="1F3864"/>
          <w:sz w:val="26"/>
          <w:szCs w:val="26"/>
        </w:rPr>
        <w:t xml:space="preserve">2. ПІШОХІДНІ ШЛЯХИ РУХУ ВЗДОВЖ МАРШРУТУ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5300"/>
        <w:gridCol w:w="1300"/>
        <w:gridCol w:w="1400"/>
        <w:gridCol w:w="1966"/>
      </w:tblGrid>
      <w:tr>
        <w:trPr>
          <w:tblHeader/>
        </w:trPr>
        <w:tc>
          <w:tcPr>
            <w:tcW w:type="dxa" w:w="500"/>
            <w:shd w:fill="1F3864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№</w:t>
            </w:r>
          </w:p>
        </w:tc>
        <w:tc>
          <w:tcPr>
            <w:tcW w:type="dxa" w:w="5300"/>
            <w:shd w:fill="1F3864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Критерій оцінки</w:t>
            </w:r>
          </w:p>
        </w:tc>
        <w:tc>
          <w:tcPr>
            <w:tcW w:type="dxa" w:w="1300"/>
            <w:shd w:fill="1F3864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Критичність</w:t>
            </w:r>
          </w:p>
        </w:tc>
        <w:tc>
          <w:tcPr>
            <w:tcW w:type="dxa" w:w="1400"/>
            <w:shd w:fill="1F3864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Відповідність
(так / ні / н.з.)</w:t>
            </w:r>
          </w:p>
        </w:tc>
        <w:tc>
          <w:tcPr>
            <w:tcW w:type="dxa" w:w="1966"/>
            <w:shd w:fill="1F3864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Коментар / фото</w:t>
            </w:r>
          </w:p>
        </w:tc>
      </w:tr>
      <w:tr>
        <w:tc>
          <w:tcPr>
            <w:tcW w:type="dxa" w:w="5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dxa" w:w="5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Пішохідний шлях вільний від будь-яких перешкод для руху (споруди, огородження, стовпчики, торговельні МАФ, рекламні конструкції, антипаркувальні елементи тощо)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W w:type="dxa" w:w="14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66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dxa" w:w="5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Ширина пішохідного шляху зі зустрічним рухом — не менше 1,8 м, або 1,5 м за наявності роз'їздів (кишень) шириною для взаємного роз'їзду кожні 25 м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W w:type="dxa" w:w="14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66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dxa" w:w="53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На всіх з'їздах із тротуару на проїзну частину влаштовано бордюрний пандус з ухилом не більше 8%</w:t>
            </w:r>
          </w:p>
        </w:tc>
        <w:tc>
          <w:tcPr>
            <w:tcW w:type="dxa" w:w="13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color w:val="B00000"/>
                <w:sz w:val="18"/>
                <w:szCs w:val="18"/>
              </w:rPr>
              <w:t xml:space="preserve">висока</w:t>
            </w:r>
          </w:p>
        </w:tc>
        <w:tc>
          <w:tcPr>
            <w:tcW w:type="dxa" w:w="14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66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dxa" w:w="53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Покриття пішохідних доріжок рівне (без вибоїн, щебню, піску, гравію як верхнього шару); шви бруківки/плитки — не більше 1,5 см</w:t>
            </w:r>
          </w:p>
        </w:tc>
        <w:tc>
          <w:tcPr>
            <w:tcW w:type="dxa" w:w="13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color w:val="B00000"/>
                <w:sz w:val="18"/>
                <w:szCs w:val="18"/>
              </w:rPr>
              <w:t xml:space="preserve">висока</w:t>
            </w:r>
          </w:p>
        </w:tc>
        <w:tc>
          <w:tcPr>
            <w:tcW w:type="dxa" w:w="14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66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dxa" w:w="5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На шляху відсутні сходи; за наявності — продубльовані пандусом з ухилом 8% і поручнями (якщо ухил ≥5%), або передбачено пологий обхідний шлях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W w:type="dxa" w:w="14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66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dxa" w:w="53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Уздовж доріжки наявні стандартні тактильні направляючі (бордюр, газон, комбіноване або контрастне за фактурою покриття)</w:t>
            </w:r>
          </w:p>
        </w:tc>
        <w:tc>
          <w:tcPr>
            <w:tcW w:type="dxa" w:w="13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color w:val="B00000"/>
                <w:sz w:val="18"/>
                <w:szCs w:val="18"/>
              </w:rPr>
              <w:t xml:space="preserve">висока</w:t>
            </w:r>
          </w:p>
        </w:tc>
        <w:tc>
          <w:tcPr>
            <w:tcW w:type="dxa" w:w="14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66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dxa" w:w="5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За відсутності стандартних направляючих — облаштована спеціальна направляюча тактильна смуга з чітким початком і кінцем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W w:type="dxa" w:w="14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66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dxa" w:w="53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Усі поодинокі сходинки замінені пандусами</w:t>
            </w:r>
          </w:p>
        </w:tc>
        <w:tc>
          <w:tcPr>
            <w:tcW w:type="dxa" w:w="13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color w:val="B00000"/>
                <w:sz w:val="18"/>
                <w:szCs w:val="18"/>
              </w:rPr>
              <w:t xml:space="preserve">висока</w:t>
            </w:r>
          </w:p>
        </w:tc>
        <w:tc>
          <w:tcPr>
            <w:tcW w:type="dxa" w:w="14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66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9</w:t>
            </w:r>
          </w:p>
        </w:tc>
        <w:tc>
          <w:tcPr>
            <w:tcW w:type="dxa" w:w="5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Ухил пандуса не більше 8%, ширина не менше 0,9 м у просвіті, поручні з обох боків на висоті 0,7 і 0,9 м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W w:type="dxa" w:w="14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66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10</w:t>
            </w:r>
          </w:p>
        </w:tc>
        <w:tc>
          <w:tcPr>
            <w:tcW w:type="dxa" w:w="5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Усі сходи в межах одного маршу однакові за формою, шириною і висотою підйому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W w:type="dxa" w:w="14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66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11</w:t>
            </w:r>
          </w:p>
        </w:tc>
        <w:tc>
          <w:tcPr>
            <w:tcW w:type="dxa" w:w="5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Сходи мають контрастне маркування першої та останньої сходинки (не менше 10 см по горизонталі, 5 см по вертикалі)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W w:type="dxa" w:w="14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66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12</w:t>
            </w:r>
          </w:p>
        </w:tc>
        <w:tc>
          <w:tcPr>
            <w:tcW w:type="dxa" w:w="5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Перед і після сходового маршу розташована попереджувальна тактильна смуга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W w:type="dxa" w:w="14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66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13</w:t>
            </w:r>
          </w:p>
        </w:tc>
        <w:tc>
          <w:tcPr>
            <w:tcW w:type="dxa" w:w="5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Решітки водостоків на тротуарах мають чарунки розміром не більше 1,5 см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W w:type="dxa" w:w="14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66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pStyle w:val="Heading1"/>
        <w:spacing w:after="150" w:before="300"/>
      </w:pPr>
      <w:r>
        <w:rPr>
          <w:b/>
          <w:bCs/>
          <w:color w:val="1F3864"/>
          <w:sz w:val="26"/>
          <w:szCs w:val="26"/>
        </w:rPr>
        <w:t xml:space="preserve">3. НАЗЕМНІ ПЕРЕХОДИ, ПЕРЕХРЕСТЯ І ТРАНСПОРТНІ РОЗВ'ЯЗКИ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5300"/>
        <w:gridCol w:w="1300"/>
        <w:gridCol w:w="1400"/>
        <w:gridCol w:w="1966"/>
      </w:tblGrid>
      <w:tr>
        <w:trPr>
          <w:tblHeader/>
        </w:trPr>
        <w:tc>
          <w:tcPr>
            <w:tcW w:type="dxa" w:w="500"/>
            <w:shd w:fill="1F3864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№</w:t>
            </w:r>
          </w:p>
        </w:tc>
        <w:tc>
          <w:tcPr>
            <w:tcW w:type="dxa" w:w="5300"/>
            <w:shd w:fill="1F3864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Критерій оцінки</w:t>
            </w:r>
          </w:p>
        </w:tc>
        <w:tc>
          <w:tcPr>
            <w:tcW w:type="dxa" w:w="1300"/>
            <w:shd w:fill="1F3864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Критичність</w:t>
            </w:r>
          </w:p>
        </w:tc>
        <w:tc>
          <w:tcPr>
            <w:tcW w:type="dxa" w:w="1400"/>
            <w:shd w:fill="1F3864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Відповідність
(так / ні / н.з.)</w:t>
            </w:r>
          </w:p>
        </w:tc>
        <w:tc>
          <w:tcPr>
            <w:tcW w:type="dxa" w:w="1966"/>
            <w:shd w:fill="1F3864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Коментар / фото</w:t>
            </w:r>
          </w:p>
        </w:tc>
      </w:tr>
      <w:tr>
        <w:tc>
          <w:tcPr>
            <w:tcW w:type="dxa" w:w="5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dxa" w:w="53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На пішохідних переходах і всіх з'їздах на проїзну частину влаштовано бордюрний пандус з ухилом 8%</w:t>
            </w:r>
          </w:p>
        </w:tc>
        <w:tc>
          <w:tcPr>
            <w:tcW w:type="dxa" w:w="13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color w:val="B00000"/>
                <w:sz w:val="18"/>
                <w:szCs w:val="18"/>
              </w:rPr>
              <w:t xml:space="preserve">висока</w:t>
            </w:r>
          </w:p>
        </w:tc>
        <w:tc>
          <w:tcPr>
            <w:tcW w:type="dxa" w:w="14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66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dxa" w:w="5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Перед виходом на проїзну частину, на всю ширину переходу, наявна попереджувальна тактильна смуга шириною не менше 0,3 м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W w:type="dxa" w:w="14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66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dxa" w:w="5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На регульованих переходах облаштовано звукове оповіщення про можливість безпечного переходу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W w:type="dxa" w:w="14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66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dxa" w:w="53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Пішохідні переходи промарковані та мають вуличне освітлення у темний час доби</w:t>
            </w:r>
          </w:p>
        </w:tc>
        <w:tc>
          <w:tcPr>
            <w:tcW w:type="dxa" w:w="13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color w:val="B00000"/>
                <w:sz w:val="18"/>
                <w:szCs w:val="18"/>
              </w:rPr>
              <w:t xml:space="preserve">висока</w:t>
            </w:r>
          </w:p>
        </w:tc>
        <w:tc>
          <w:tcPr>
            <w:tcW w:type="dxa" w:w="14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66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pStyle w:val="Heading1"/>
        <w:spacing w:after="150" w:before="300"/>
      </w:pPr>
      <w:r>
        <w:rPr>
          <w:b/>
          <w:bCs/>
          <w:color w:val="1F3864"/>
          <w:sz w:val="26"/>
          <w:szCs w:val="26"/>
        </w:rPr>
        <w:t xml:space="preserve">4. НАДЗЕМНІ ТА ПІДЗЕМНІ ПЕРЕХОДИ (за наявності)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5300"/>
        <w:gridCol w:w="1300"/>
        <w:gridCol w:w="1400"/>
        <w:gridCol w:w="1966"/>
      </w:tblGrid>
      <w:tr>
        <w:trPr>
          <w:tblHeader/>
        </w:trPr>
        <w:tc>
          <w:tcPr>
            <w:tcW w:type="dxa" w:w="500"/>
            <w:shd w:fill="1F3864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№</w:t>
            </w:r>
          </w:p>
        </w:tc>
        <w:tc>
          <w:tcPr>
            <w:tcW w:type="dxa" w:w="5300"/>
            <w:shd w:fill="1F3864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Критерій оцінки</w:t>
            </w:r>
          </w:p>
        </w:tc>
        <w:tc>
          <w:tcPr>
            <w:tcW w:type="dxa" w:w="1300"/>
            <w:shd w:fill="1F3864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Критичність</w:t>
            </w:r>
          </w:p>
        </w:tc>
        <w:tc>
          <w:tcPr>
            <w:tcW w:type="dxa" w:w="1400"/>
            <w:shd w:fill="1F3864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Відповідність
(так / ні / н.з.)</w:t>
            </w:r>
          </w:p>
        </w:tc>
        <w:tc>
          <w:tcPr>
            <w:tcW w:type="dxa" w:w="1966"/>
            <w:shd w:fill="1F3864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Коментар / фото</w:t>
            </w:r>
          </w:p>
        </w:tc>
      </w:tr>
      <w:tr>
        <w:tc>
          <w:tcPr>
            <w:tcW w:type="dxa" w:w="5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dxa" w:w="53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Перехід обладнаний пандусами, ліфтом або підйомником, або продубльований наземним переходом</w:t>
            </w:r>
          </w:p>
        </w:tc>
        <w:tc>
          <w:tcPr>
            <w:tcW w:type="dxa" w:w="13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color w:val="B00000"/>
                <w:sz w:val="18"/>
                <w:szCs w:val="18"/>
              </w:rPr>
              <w:t xml:space="preserve">висока</w:t>
            </w:r>
          </w:p>
        </w:tc>
        <w:tc>
          <w:tcPr>
            <w:tcW w:type="dxa" w:w="14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66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dxa" w:w="5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Ухил пандуса не більше 8%, ширина не менше 0,9 м, поручні з обох боків на висоті 0,7 і 0,9 м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W w:type="dxa" w:w="14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66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dxa" w:w="5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Ширина дверей ліфта у просвіті — не менше 0,9 м; кабіна — 1,1 × 1,4 м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W w:type="dxa" w:w="14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66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dxa" w:w="5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Відкрита платформа підйомника — не менше 0,9 × 1,4 м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W w:type="dxa" w:w="14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66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dxa" w:w="5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Номери поверхів на кнопках ліфта продубльовано тактильно і шрифтом Брайля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W w:type="dxa" w:w="14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66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pStyle w:val="Heading1"/>
        <w:spacing w:after="150" w:before="300"/>
      </w:pPr>
      <w:r>
        <w:rPr>
          <w:b/>
          <w:bCs/>
          <w:color w:val="1F3864"/>
          <w:sz w:val="26"/>
          <w:szCs w:val="26"/>
        </w:rPr>
        <w:t xml:space="preserve">5. СПЕЦИФІКА СПУСКІВ ДО МОРЯ</w:t>
      </w:r>
    </w:p>
    <w:p>
      <w:pPr>
        <w:spacing w:after="200"/>
      </w:pPr>
      <w:r>
        <w:rPr>
          <w:i/>
          <w:iCs/>
          <w:color w:val="555555"/>
          <w:sz w:val="18"/>
          <w:szCs w:val="18"/>
        </w:rPr>
        <w:t xml:space="preserve">Розділ доповнює державну методику критеріями, специфічними для рекреаційного узбережжя Одеси.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5300"/>
        <w:gridCol w:w="1300"/>
        <w:gridCol w:w="1400"/>
        <w:gridCol w:w="1966"/>
      </w:tblGrid>
      <w:tr>
        <w:trPr>
          <w:tblHeader/>
        </w:trPr>
        <w:tc>
          <w:tcPr>
            <w:tcW w:type="dxa" w:w="500"/>
            <w:shd w:fill="1F3864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№</w:t>
            </w:r>
          </w:p>
        </w:tc>
        <w:tc>
          <w:tcPr>
            <w:tcW w:type="dxa" w:w="5300"/>
            <w:shd w:fill="1F3864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Критерій оцінки</w:t>
            </w:r>
          </w:p>
        </w:tc>
        <w:tc>
          <w:tcPr>
            <w:tcW w:type="dxa" w:w="1300"/>
            <w:shd w:fill="1F3864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Критичність</w:t>
            </w:r>
          </w:p>
        </w:tc>
        <w:tc>
          <w:tcPr>
            <w:tcW w:type="dxa" w:w="1400"/>
            <w:shd w:fill="1F3864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Відповідність
(так / ні / н.з.)</w:t>
            </w:r>
          </w:p>
        </w:tc>
        <w:tc>
          <w:tcPr>
            <w:tcW w:type="dxa" w:w="1966"/>
            <w:shd w:fill="1F3864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Коментар / фото</w:t>
            </w:r>
          </w:p>
        </w:tc>
      </w:tr>
      <w:tr>
        <w:tc>
          <w:tcPr>
            <w:tcW w:type="dxa" w:w="5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dxa" w:w="5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Тип спуску визначено та зафіксовано (сходи / пандус / комбінований / ґрунтова стежка / дерев'яний настил)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W w:type="dxa" w:w="14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66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dxa" w:w="5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Загальна висота підйому спуску та кількість сходинок зафіксовані (см / шт.)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W w:type="dxa" w:w="14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66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dxa" w:w="53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Наявний пандус-дублер сходів з ухилом не більше 8% (рекомендовано 5%)</w:t>
            </w:r>
          </w:p>
        </w:tc>
        <w:tc>
          <w:tcPr>
            <w:tcW w:type="dxa" w:w="13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color w:val="B00000"/>
                <w:sz w:val="18"/>
                <w:szCs w:val="18"/>
              </w:rPr>
              <w:t xml:space="preserve">висока</w:t>
            </w:r>
          </w:p>
        </w:tc>
        <w:tc>
          <w:tcPr>
            <w:tcW w:type="dxa" w:w="14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66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dxa" w:w="53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Поручні з обох боків безперервні на всій довжині спуску, виступають за межі першої й останньої сходинки/секції не менше ніж на 30 см</w:t>
            </w:r>
          </w:p>
        </w:tc>
        <w:tc>
          <w:tcPr>
            <w:tcW w:type="dxa" w:w="13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color w:val="B00000"/>
                <w:sz w:val="18"/>
                <w:szCs w:val="18"/>
              </w:rPr>
              <w:t xml:space="preserve">висока</w:t>
            </w:r>
          </w:p>
        </w:tc>
        <w:tc>
          <w:tcPr>
            <w:tcW w:type="dxa" w:w="14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66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dxa" w:w="53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Покриття спуску протиковзке, стійке до намокання й піску (без слизької плитки, дерева без насічки тощо)</w:t>
            </w:r>
          </w:p>
        </w:tc>
        <w:tc>
          <w:tcPr>
            <w:tcW w:type="dxa" w:w="13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color w:val="B00000"/>
                <w:sz w:val="18"/>
                <w:szCs w:val="18"/>
              </w:rPr>
              <w:t xml:space="preserve">висока</w:t>
            </w:r>
          </w:p>
        </w:tc>
        <w:tc>
          <w:tcPr>
            <w:tcW w:type="dxa" w:w="14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66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dxa" w:w="5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Через кожні 9–12 сходинок або 25–30 м пандуса влаштовано горизонтальний майданчик відпочинку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W w:type="dxa" w:w="14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66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dxa" w:w="5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Ширина спуску дозволяє зустрічний роз'їзд (не менше 1,5–1,8 м)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W w:type="dxa" w:w="14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66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dxa" w:w="5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Маршрут спуску має затінення (навіс, дерева, тіньові конструкції) для захисту від сонця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W w:type="dxa" w:w="14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66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9</w:t>
            </w:r>
          </w:p>
        </w:tc>
        <w:tc>
          <w:tcPr>
            <w:tcW w:type="dxa" w:w="5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Уздовж маршруту спуску наявні місця для сидіння (лавки з підлокітниками та спинкою)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W w:type="dxa" w:w="14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66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10</w:t>
            </w:r>
          </w:p>
        </w:tc>
        <w:tc>
          <w:tcPr>
            <w:tcW w:type="dxa" w:w="53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На межі «суходіл – пляж» влаштовано тверде неслизьке покриття (дерев'яний настил, гумове покриття, спецдоріжка)</w:t>
            </w:r>
          </w:p>
        </w:tc>
        <w:tc>
          <w:tcPr>
            <w:tcW w:type="dxa" w:w="13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color w:val="B00000"/>
                <w:sz w:val="18"/>
                <w:szCs w:val="18"/>
              </w:rPr>
              <w:t xml:space="preserve">висока</w:t>
            </w:r>
          </w:p>
        </w:tc>
        <w:tc>
          <w:tcPr>
            <w:tcW w:type="dxa" w:w="14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66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11</w:t>
            </w:r>
          </w:p>
        </w:tc>
        <w:tc>
          <w:tcPr>
            <w:tcW w:type="dxa" w:w="5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Передбачено можливість доїхати кріслом колісним безпосередньо до кромки води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W w:type="dxa" w:w="14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66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12</w:t>
            </w:r>
          </w:p>
        </w:tc>
        <w:tc>
          <w:tcPr>
            <w:tcW w:type="dxa" w:w="5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Наявне пляжне крісло-амфібія або доріжка-мат для доступу у воду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W w:type="dxa" w:w="14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66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13</w:t>
            </w:r>
          </w:p>
        </w:tc>
        <w:tc>
          <w:tcPr>
            <w:tcW w:type="dxa" w:w="5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Кабінки для перевдягання/душові біля пляжу доступні для маломобільних осіб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W w:type="dxa" w:w="14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66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14</w:t>
            </w:r>
          </w:p>
        </w:tc>
        <w:tc>
          <w:tcPr>
            <w:tcW w:type="dxa" w:w="5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Початок і кінець спуску мають контрастне маркування та попереджувальну тактильну смугу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W w:type="dxa" w:w="14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66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pStyle w:val="Heading1"/>
        <w:spacing w:after="150" w:before="300"/>
      </w:pPr>
      <w:r>
        <w:rPr>
          <w:b/>
          <w:bCs/>
          <w:color w:val="1F3864"/>
          <w:sz w:val="26"/>
          <w:szCs w:val="26"/>
        </w:rPr>
        <w:t xml:space="preserve">6. ТРАНСПОРТНІ ПІДХОДИ ТА ПАРКУВАННЯ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5300"/>
        <w:gridCol w:w="1300"/>
        <w:gridCol w:w="1400"/>
        <w:gridCol w:w="1966"/>
      </w:tblGrid>
      <w:tr>
        <w:trPr>
          <w:tblHeader/>
        </w:trPr>
        <w:tc>
          <w:tcPr>
            <w:tcW w:type="dxa" w:w="500"/>
            <w:shd w:fill="1F3864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№</w:t>
            </w:r>
          </w:p>
        </w:tc>
        <w:tc>
          <w:tcPr>
            <w:tcW w:type="dxa" w:w="5300"/>
            <w:shd w:fill="1F3864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Критерій оцінки</w:t>
            </w:r>
          </w:p>
        </w:tc>
        <w:tc>
          <w:tcPr>
            <w:tcW w:type="dxa" w:w="1300"/>
            <w:shd w:fill="1F3864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Критичність</w:t>
            </w:r>
          </w:p>
        </w:tc>
        <w:tc>
          <w:tcPr>
            <w:tcW w:type="dxa" w:w="1400"/>
            <w:shd w:fill="1F3864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Відповідність
(так / ні / н.з.)</w:t>
            </w:r>
          </w:p>
        </w:tc>
        <w:tc>
          <w:tcPr>
            <w:tcW w:type="dxa" w:w="1966"/>
            <w:shd w:fill="1F3864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Коментар / фото</w:t>
            </w:r>
          </w:p>
        </w:tc>
      </w:tr>
      <w:tr>
        <w:tc>
          <w:tcPr>
            <w:tcW w:type="dxa" w:w="5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dxa" w:w="5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Спеціальні паркомісця (квота не менше 10%, ширина не менше 3,5 м) розташовані не далі 50 м від входу на маршрут/пляж (100 м — для житлової забудови)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W w:type="dxa" w:w="14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66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dxa" w:w="53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Спецпаркомісце має прямий безбар'єрний вихід на тротуар, перепад висот 0–2 см</w:t>
            </w:r>
          </w:p>
        </w:tc>
        <w:tc>
          <w:tcPr>
            <w:tcW w:type="dxa" w:w="13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color w:val="B00000"/>
                <w:sz w:val="18"/>
                <w:szCs w:val="18"/>
              </w:rPr>
              <w:t xml:space="preserve">висока</w:t>
            </w:r>
          </w:p>
        </w:tc>
        <w:tc>
          <w:tcPr>
            <w:tcW w:type="dxa" w:w="14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66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dxa" w:w="5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Зона посадки/висадки (drop-off) розташована не далі 30 м від входу на маршрут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W w:type="dxa" w:w="14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66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dxa" w:w="5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Зупинки громадського транспорту вздовж маршруту доступні (низькопідлоговий транспорт, тактильна плитка, інформація)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W w:type="dxa" w:w="14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66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dxa" w:w="5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Перетин пішохідного маршруту з веломаршрутами/засобами мікромобільності безпечний і промаркований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W w:type="dxa" w:w="14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66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pStyle w:val="Heading1"/>
        <w:spacing w:after="150" w:before="300"/>
      </w:pPr>
      <w:r>
        <w:rPr>
          <w:b/>
          <w:bCs/>
          <w:color w:val="1F3864"/>
          <w:sz w:val="26"/>
          <w:szCs w:val="26"/>
        </w:rPr>
        <w:t xml:space="preserve">7. НАВІГАЦІЯ ТА ІНФОРМАЦІЯ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5300"/>
        <w:gridCol w:w="1300"/>
        <w:gridCol w:w="1400"/>
        <w:gridCol w:w="1966"/>
      </w:tblGrid>
      <w:tr>
        <w:trPr>
          <w:tblHeader/>
        </w:trPr>
        <w:tc>
          <w:tcPr>
            <w:tcW w:type="dxa" w:w="500"/>
            <w:shd w:fill="1F3864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№</w:t>
            </w:r>
          </w:p>
        </w:tc>
        <w:tc>
          <w:tcPr>
            <w:tcW w:type="dxa" w:w="5300"/>
            <w:shd w:fill="1F3864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Критерій оцінки</w:t>
            </w:r>
          </w:p>
        </w:tc>
        <w:tc>
          <w:tcPr>
            <w:tcW w:type="dxa" w:w="1300"/>
            <w:shd w:fill="1F3864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Критичність</w:t>
            </w:r>
          </w:p>
        </w:tc>
        <w:tc>
          <w:tcPr>
            <w:tcW w:type="dxa" w:w="1400"/>
            <w:shd w:fill="1F3864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Відповідність
(так / ні / н.з.)</w:t>
            </w:r>
          </w:p>
        </w:tc>
        <w:tc>
          <w:tcPr>
            <w:tcW w:type="dxa" w:w="1966"/>
            <w:shd w:fill="1F3864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Коментар / фото</w:t>
            </w:r>
          </w:p>
        </w:tc>
      </w:tr>
      <w:tr>
        <w:tc>
          <w:tcPr>
            <w:tcW w:type="dxa" w:w="5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dxa" w:w="5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Інформаційні вказівники до узбережжя мають контрастний текст і зрозумілі піктограми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W w:type="dxa" w:w="14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66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dxa" w:w="5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Наявна мнемосхема маршруту із позначенням доступних і недоступних ділянок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W w:type="dxa" w:w="14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66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dxa" w:w="5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У ключових точках маршруту встановлено тактильні таблички / шрифт Брайля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W w:type="dxa" w:w="14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66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dxa" w:w="5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На маршруті розміщено QR-код або посилання на інтерактивну карту доступності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W w:type="dxa" w:w="14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66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dxa" w:w="5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Важлива інформація продубльована великим шрифтом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W w:type="dxa" w:w="14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66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dxa" w:w="5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Інформаційні вказівники та стенди достатньо освітлені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W w:type="dxa" w:w="14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66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pStyle w:val="Heading1"/>
        <w:spacing w:after="150" w:before="300"/>
      </w:pPr>
      <w:r>
        <w:rPr>
          <w:b/>
          <w:bCs/>
          <w:color w:val="1F3864"/>
          <w:sz w:val="26"/>
          <w:szCs w:val="26"/>
        </w:rPr>
        <w:t xml:space="preserve">8. БЕЗПЕКА ТА КОМФОРТ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5300"/>
        <w:gridCol w:w="1300"/>
        <w:gridCol w:w="1400"/>
        <w:gridCol w:w="1966"/>
      </w:tblGrid>
      <w:tr>
        <w:trPr>
          <w:tblHeader/>
        </w:trPr>
        <w:tc>
          <w:tcPr>
            <w:tcW w:type="dxa" w:w="500"/>
            <w:shd w:fill="1F3864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№</w:t>
            </w:r>
          </w:p>
        </w:tc>
        <w:tc>
          <w:tcPr>
            <w:tcW w:type="dxa" w:w="5300"/>
            <w:shd w:fill="1F3864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Критерій оцінки</w:t>
            </w:r>
          </w:p>
        </w:tc>
        <w:tc>
          <w:tcPr>
            <w:tcW w:type="dxa" w:w="1300"/>
            <w:shd w:fill="1F3864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Критичність</w:t>
            </w:r>
          </w:p>
        </w:tc>
        <w:tc>
          <w:tcPr>
            <w:tcW w:type="dxa" w:w="1400"/>
            <w:shd w:fill="1F3864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Відповідність
(так / ні / н.з.)</w:t>
            </w:r>
          </w:p>
        </w:tc>
        <w:tc>
          <w:tcPr>
            <w:tcW w:type="dxa" w:w="1966"/>
            <w:shd w:fill="1F3864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Коментар / фото</w:t>
            </w:r>
          </w:p>
        </w:tc>
      </w:tr>
      <w:tr>
        <w:tc>
          <w:tcPr>
            <w:tcW w:type="dxa" w:w="5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dxa" w:w="53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Маршрут освітлений у темний час доби, освітлення рівномірне, без сліпучого ефекту</w:t>
            </w:r>
          </w:p>
        </w:tc>
        <w:tc>
          <w:tcPr>
            <w:tcW w:type="dxa" w:w="13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color w:val="B00000"/>
                <w:sz w:val="18"/>
                <w:szCs w:val="18"/>
              </w:rPr>
              <w:t xml:space="preserve">висока</w:t>
            </w:r>
          </w:p>
        </w:tc>
        <w:tc>
          <w:tcPr>
            <w:tcW w:type="dxa" w:w="1400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66"/>
            <w:shd w:fill="FCE4E4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dxa" w:w="5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На маршруті або поблизу є доступ до питної води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W w:type="dxa" w:w="14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66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dxa" w:w="5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На маршруті або поблизу є доступний туалет (універсальний дизайн)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W w:type="dxa" w:w="14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66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dxa" w:w="5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На маршруті наявні тінь/укриття від сонця та опадів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W w:type="dxa" w:w="14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66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dxa" w:w="5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Розміщено контакти екстреної допомоги або спосіб повідомити про бар'єр (телефон, QR)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W w:type="dxa" w:w="14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66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dxa" w:w="5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Передбачено регулярне прибирання снігу/ожеледиці на маршруті взимку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W w:type="dxa" w:w="1400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66"/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pStyle w:val="Heading1"/>
        <w:spacing w:after="150" w:before="300"/>
      </w:pPr>
      <w:r>
        <w:rPr>
          <w:b/>
          <w:bCs/>
          <w:color w:val="1F3864"/>
          <w:sz w:val="26"/>
          <w:szCs w:val="26"/>
        </w:rPr>
        <w:t xml:space="preserve">9. ДОСТУПНІСТЬ ДЛЯ РІЗНИХ ГРУП КОРИСТУВАЧІВ</w:t>
      </w:r>
    </w:p>
    <w:p>
      <w:pPr>
        <w:spacing w:after="140"/>
      </w:pPr>
      <w:r>
        <w:rPr>
          <w:sz w:val="20"/>
          <w:szCs w:val="20"/>
        </w:rPr>
        <w:t xml:space="preserve">1. Чи може людина на кріслі колісному самостійно подолати шлях від міста до кромки води? </w:t>
      </w:r>
      <w:r>
        <w:rPr>
          <w:sz w:val="20"/>
          <w:szCs w:val="20"/>
        </w:rPr>
        <w:t xml:space="preserve">___</w:t>
      </w:r>
    </w:p>
    <w:p>
      <w:pPr>
        <w:spacing w:after="140"/>
      </w:pPr>
      <w:r>
        <w:rPr>
          <w:sz w:val="20"/>
          <w:szCs w:val="20"/>
        </w:rPr>
        <w:t xml:space="preserve">2. Чи може ветеран з протезом безпечно пройти маршрут без сторонньої допомоги? </w:t>
      </w:r>
      <w:r>
        <w:rPr>
          <w:sz w:val="20"/>
          <w:szCs w:val="20"/>
        </w:rPr>
        <w:t xml:space="preserve">___</w:t>
      </w:r>
    </w:p>
    <w:p>
      <w:pPr>
        <w:spacing w:after="140"/>
      </w:pPr>
      <w:r>
        <w:rPr>
          <w:sz w:val="20"/>
          <w:szCs w:val="20"/>
        </w:rPr>
        <w:t xml:space="preserve">3. Чи може людина з порушенням зору самостійно орієнтуватися на маршруті? </w:t>
      </w:r>
      <w:r>
        <w:rPr>
          <w:sz w:val="20"/>
          <w:szCs w:val="20"/>
        </w:rPr>
        <w:t xml:space="preserve">___</w:t>
      </w:r>
    </w:p>
    <w:p>
      <w:pPr>
        <w:spacing w:after="140"/>
      </w:pPr>
      <w:r>
        <w:rPr>
          <w:sz w:val="20"/>
          <w:szCs w:val="20"/>
        </w:rPr>
        <w:t xml:space="preserve">4. Чи може людина, яка пересувається з милицями або ходунками, безпечно подолати маршрут? </w:t>
      </w:r>
      <w:r>
        <w:rPr>
          <w:sz w:val="20"/>
          <w:szCs w:val="20"/>
        </w:rPr>
        <w:t xml:space="preserve">___</w:t>
      </w:r>
    </w:p>
    <w:p>
      <w:pPr>
        <w:spacing w:after="140"/>
      </w:pPr>
      <w:r>
        <w:rPr>
          <w:sz w:val="20"/>
          <w:szCs w:val="20"/>
        </w:rPr>
        <w:t xml:space="preserve">5. Чи зручний маршрут для батьків з дитячими візками? </w:t>
      </w:r>
      <w:r>
        <w:rPr>
          <w:sz w:val="20"/>
          <w:szCs w:val="20"/>
        </w:rPr>
        <w:t xml:space="preserve">___</w:t>
      </w:r>
    </w:p>
    <w:p>
      <w:pPr>
        <w:spacing w:after="140"/>
      </w:pPr>
      <w:r>
        <w:rPr>
          <w:sz w:val="20"/>
          <w:szCs w:val="20"/>
        </w:rPr>
        <w:t xml:space="preserve">6. Чи є на маршруті ділянки, небезпечні для літніх людей (слизькість, відсутність поручнів, різкі перепади висот)? </w:t>
      </w:r>
      <w:r>
        <w:rPr>
          <w:sz w:val="20"/>
          <w:szCs w:val="20"/>
        </w:rPr>
        <w:t xml:space="preserve">___</w:t>
      </w:r>
    </w:p>
    <w:p>
      <w:pPr>
        <w:pStyle w:val="Heading1"/>
        <w:spacing w:after="150" w:before="300"/>
      </w:pPr>
      <w:r>
        <w:rPr>
          <w:b/>
          <w:bCs/>
          <w:color w:val="1F3864"/>
          <w:sz w:val="26"/>
          <w:szCs w:val="26"/>
        </w:rPr>
        <w:t xml:space="preserve">10. ПІДСУМКОВА ОЦІНКА</w:t>
      </w:r>
    </w:p>
    <w:p>
      <w:pPr>
        <w:spacing w:after="100"/>
      </w:pPr>
      <w:r>
        <w:rPr>
          <w:b/>
          <w:bCs/>
          <w:sz w:val="20"/>
          <w:szCs w:val="20"/>
        </w:rPr>
        <w:t xml:space="preserve">Загальний висновок щодо ступеня безбар'єрності маршруту (позначити один варіант):</w:t>
      </w:r>
    </w:p>
    <w:p>
      <w:pPr>
        <w:spacing w:after="100"/>
      </w:pPr>
      <w:r>
        <w:rPr>
          <w:sz w:val="20"/>
          <w:szCs w:val="20"/>
        </w:rPr>
        <w:t xml:space="preserve">☐ Маршрут є безбар'єрним — відповідність забезпечено всім без винятку критеріям.</w:t>
      </w:r>
    </w:p>
    <w:p>
      <w:pPr>
        <w:spacing w:after="100"/>
      </w:pPr>
      <w:r>
        <w:rPr>
          <w:sz w:val="20"/>
          <w:szCs w:val="20"/>
        </w:rPr>
        <w:t xml:space="preserve">☐ Маршрут є частково безбар'єрним — відповідність забезпечено всім критеріям високої критичності, але є «ні» в одному чи кількох інших критеріях.</w:t>
      </w:r>
    </w:p>
    <w:p>
      <w:pPr>
        <w:spacing w:after="100"/>
      </w:pPr>
      <w:r>
        <w:rPr>
          <w:sz w:val="20"/>
          <w:szCs w:val="20"/>
        </w:rPr>
        <w:t xml:space="preserve">☐ Маршрут є бар'єрним — не забезпечено відповідність хоча б одному критерію високої критичності.</w:t>
      </w:r>
    </w:p>
    <w:p>
      <w:pPr>
        <w:spacing w:after="140"/>
      </w:pPr>
      <w:r>
        <w:rPr>
          <w:sz w:val="20"/>
          <w:szCs w:val="20"/>
        </w:rPr>
        <w:t xml:space="preserve">Основні виявлені бар'єри: </w:t>
      </w:r>
      <w:r>
        <w:rPr>
          <w:sz w:val="20"/>
          <w:szCs w:val="20"/>
        </w:rPr>
        <w:t xml:space="preserve">___</w:t>
      </w:r>
    </w:p>
    <w:p>
      <w:pPr>
        <w:spacing w:after="140"/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____________________________________________________________</w:t>
      </w:r>
    </w:p>
    <w:p>
      <w:pPr>
        <w:spacing w:after="140"/>
      </w:pPr>
      <w:r>
        <w:rPr>
          <w:sz w:val="20"/>
          <w:szCs w:val="20"/>
        </w:rPr>
        <w:t xml:space="preserve">Першочергові заходи для підвищення доступності: </w:t>
      </w:r>
      <w:r>
        <w:rPr>
          <w:sz w:val="20"/>
          <w:szCs w:val="20"/>
        </w:rPr>
        <w:t xml:space="preserve">___</w:t>
      </w:r>
    </w:p>
    <w:p>
      <w:pPr>
        <w:spacing w:after="140"/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____________________________________________________________</w:t>
      </w:r>
    </w:p>
    <w:p>
      <w:pPr>
        <w:spacing w:after="140"/>
      </w:pPr>
      <w:r>
        <w:rPr>
          <w:sz w:val="20"/>
          <w:szCs w:val="20"/>
        </w:rPr>
        <w:t xml:space="preserve">Фотофіксація виконана: ☐ Так   ☐ Ні </w:t>
      </w:r>
      <w:r>
        <w:rPr>
          <w:sz w:val="20"/>
          <w:szCs w:val="20"/>
        </w:rPr>
        <w:t xml:space="preserve">________________________________________</w:t>
      </w:r>
    </w:p>
    <w:p>
      <w:pPr>
        <w:spacing w:after="140"/>
      </w:pPr>
      <w:r>
        <w:rPr>
          <w:sz w:val="20"/>
          <w:szCs w:val="20"/>
        </w:rPr>
        <w:t xml:space="preserve">Додаткові зауваження обстежувача: </w:t>
      </w:r>
      <w:r>
        <w:rPr>
          <w:sz w:val="20"/>
          <w:szCs w:val="20"/>
        </w:rPr>
        <w:t xml:space="preserve">___</w:t>
      </w:r>
    </w:p>
    <w:p>
      <w:pPr>
        <w:spacing w:after="140"/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____________________________________________________________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2026-07-13T15:43:28.781Z</dcterms:created>
  <dcterms:modified xsi:type="dcterms:W3CDTF">2026-07-13T15:43:28.782Z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